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5A411C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Toksykologia kliniczna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9257BE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9257BE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75141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252137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>; B</w:t>
            </w:r>
            <w:r w:rsidRPr="005E307D">
              <w:rPr>
                <w:sz w:val="20"/>
                <w:szCs w:val="20"/>
              </w:rPr>
              <w:t>- Nauki społeczne i humanizm w ratownictwie medycznym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5E307D">
              <w:rPr>
                <w:sz w:val="20"/>
                <w:szCs w:val="20"/>
                <w:u w:val="single"/>
              </w:rPr>
              <w:t>C-</w:t>
            </w:r>
            <w:r w:rsidR="00B52075" w:rsidRPr="005E307D">
              <w:rPr>
                <w:sz w:val="20"/>
                <w:szCs w:val="20"/>
                <w:u w:val="single"/>
              </w:rPr>
              <w:t xml:space="preserve"> </w:t>
            </w:r>
            <w:r w:rsidRPr="005E307D">
              <w:rPr>
                <w:sz w:val="20"/>
                <w:szCs w:val="20"/>
                <w:u w:val="single"/>
              </w:rPr>
              <w:t>Nauki kliniczne</w:t>
            </w:r>
            <w:r w:rsidRPr="00CE6A53">
              <w:rPr>
                <w:sz w:val="20"/>
                <w:szCs w:val="20"/>
              </w:rPr>
              <w:t>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5A411C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5A411C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5A411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6A2E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5A411C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obowiązującego programu </w:t>
            </w:r>
            <w:r w:rsidR="005A411C">
              <w:rPr>
                <w:color w:val="000000"/>
                <w:szCs w:val="20"/>
              </w:rPr>
              <w:t>farmakologii z toksykologią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153595">
            <w:pPr>
              <w:jc w:val="both"/>
              <w:rPr>
                <w:color w:val="000000"/>
                <w:szCs w:val="20"/>
              </w:rPr>
            </w:pPr>
            <w:r w:rsidRPr="00153595">
              <w:rPr>
                <w:b/>
                <w:sz w:val="24"/>
              </w:rPr>
              <w:t xml:space="preserve">Założenia i cele dla przedmiotu: </w:t>
            </w:r>
            <w:r w:rsidR="006A2E6C" w:rsidRPr="00153595">
              <w:rPr>
                <w:szCs w:val="20"/>
              </w:rPr>
              <w:t xml:space="preserve">W wyniku procesu kształcenia student powinien: znać podstawowe pojęcia </w:t>
            </w:r>
            <w:r w:rsidR="002049FA" w:rsidRPr="00153595">
              <w:rPr>
                <w:szCs w:val="20"/>
              </w:rPr>
              <w:t xml:space="preserve">z zakresu </w:t>
            </w:r>
            <w:r w:rsidR="005A411C" w:rsidRPr="00153595">
              <w:rPr>
                <w:szCs w:val="20"/>
              </w:rPr>
              <w:t xml:space="preserve">toksykologii, toksykologii klinicznej. </w:t>
            </w:r>
            <w:r w:rsidR="00165C30" w:rsidRPr="00153595">
              <w:rPr>
                <w:szCs w:val="20"/>
              </w:rPr>
              <w:t>Zdobyć wiedzy w zakresie mechanizmów wchłaniania, rozmieszczenia, biotransformacji i wydal</w:t>
            </w:r>
            <w:r w:rsidR="00153595" w:rsidRPr="00153595">
              <w:rPr>
                <w:szCs w:val="20"/>
              </w:rPr>
              <w:t>ania ksenobiotyków z organizmu. Zdobyć  wiedzę</w:t>
            </w:r>
            <w:r w:rsidR="00165C30" w:rsidRPr="00153595">
              <w:rPr>
                <w:szCs w:val="20"/>
              </w:rPr>
              <w:t xml:space="preserve"> w zakresie mechanizmów toksycznego działania trucizn i i</w:t>
            </w:r>
            <w:r w:rsidR="00153595" w:rsidRPr="00153595">
              <w:rPr>
                <w:szCs w:val="20"/>
              </w:rPr>
              <w:t xml:space="preserve">ch znaczenia w leczeniu zatruć. Nabyć </w:t>
            </w:r>
            <w:r w:rsidR="00165C30" w:rsidRPr="00153595">
              <w:rPr>
                <w:szCs w:val="20"/>
              </w:rPr>
              <w:t xml:space="preserve"> umiejętności dotycząc</w:t>
            </w:r>
            <w:r w:rsidR="00153595" w:rsidRPr="00153595">
              <w:rPr>
                <w:szCs w:val="20"/>
              </w:rPr>
              <w:t xml:space="preserve">e efektów </w:t>
            </w:r>
            <w:r w:rsidR="00165C30" w:rsidRPr="00153595">
              <w:rPr>
                <w:szCs w:val="20"/>
              </w:rPr>
              <w:t>ostrych i przewlekłych</w:t>
            </w:r>
            <w:r w:rsidR="00153595" w:rsidRPr="00153595">
              <w:rPr>
                <w:szCs w:val="20"/>
              </w:rPr>
              <w:t xml:space="preserve"> zatruć oraz skutków odległych. Wykształcić </w:t>
            </w:r>
            <w:r w:rsidR="00165C30" w:rsidRPr="00153595">
              <w:rPr>
                <w:szCs w:val="20"/>
              </w:rPr>
              <w:t>kompet</w:t>
            </w:r>
            <w:r w:rsidR="00153595" w:rsidRPr="00153595">
              <w:rPr>
                <w:szCs w:val="20"/>
              </w:rPr>
              <w:t>encje</w:t>
            </w:r>
            <w:r w:rsidR="00165C30" w:rsidRPr="00153595">
              <w:rPr>
                <w:szCs w:val="20"/>
              </w:rPr>
              <w:t xml:space="preserve"> społeczn</w:t>
            </w:r>
            <w:r w:rsidR="00153595" w:rsidRPr="00153595">
              <w:rPr>
                <w:szCs w:val="20"/>
              </w:rPr>
              <w:t>e</w:t>
            </w:r>
            <w:r w:rsidR="00165C30" w:rsidRPr="00153595">
              <w:rPr>
                <w:szCs w:val="20"/>
              </w:rPr>
              <w:t xml:space="preserve"> zgodnych z efektami uczenia się dla przedmiotu  (</w:t>
            </w:r>
            <w:r w:rsidR="00153595" w:rsidRPr="00153595">
              <w:rPr>
                <w:szCs w:val="20"/>
              </w:rPr>
              <w:t>Toksykologia kliniczna</w:t>
            </w:r>
            <w:r w:rsidR="00165C30" w:rsidRPr="00153595">
              <w:rPr>
                <w:szCs w:val="20"/>
              </w:rPr>
              <w:t>).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766FB5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766FB5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Pr="002A66A0">
              <w:rPr>
                <w:b/>
                <w:sz w:val="16"/>
              </w:rPr>
              <w:lastRenderedPageBreak/>
              <w:t>6 charakterystyk</w:t>
            </w:r>
            <w:r>
              <w:rPr>
                <w:b/>
                <w:sz w:val="16"/>
              </w:rPr>
              <w:t xml:space="preserve"> </w:t>
            </w:r>
            <w:r w:rsidR="002275BF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766FB5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lastRenderedPageBreak/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766FB5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BA2B4B" w:rsidRPr="000A659B" w:rsidTr="00CB548C">
        <w:trPr>
          <w:trHeight w:val="566"/>
        </w:trPr>
        <w:tc>
          <w:tcPr>
            <w:tcW w:w="4730" w:type="dxa"/>
            <w:gridSpan w:val="5"/>
          </w:tcPr>
          <w:p w:rsidR="00BA2B4B" w:rsidRPr="00F2125A" w:rsidRDefault="00712BF0" w:rsidP="00712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zasady zabezpieczania materiału biologicznego do badań laboratoryjnych, mikrobiologicznych i toksykologicznych</w:t>
            </w:r>
          </w:p>
        </w:tc>
        <w:tc>
          <w:tcPr>
            <w:tcW w:w="1352" w:type="dxa"/>
            <w:gridSpan w:val="2"/>
            <w:vMerge w:val="restart"/>
          </w:tcPr>
          <w:p w:rsidR="00BA2B4B" w:rsidRPr="00730125" w:rsidRDefault="00BA2B4B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BA2B4B" w:rsidRPr="00730125" w:rsidRDefault="00BA2B4B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BA2B4B" w:rsidRPr="00730125" w:rsidRDefault="00BA2B4B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BA2B4B" w:rsidRPr="00E042EA" w:rsidRDefault="005E307D" w:rsidP="00712BF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BA2B4B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 w:rsidR="00712BF0">
              <w:rPr>
                <w:rFonts w:eastAsia="Times New Roman" w:cstheme="minorHAnsi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2535" w:type="dxa"/>
            <w:gridSpan w:val="4"/>
            <w:vMerge w:val="restart"/>
          </w:tcPr>
          <w:p w:rsidR="00BA2B4B" w:rsidRDefault="00BA2B4B" w:rsidP="00766FB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BA2B4B" w:rsidRDefault="00F954BF" w:rsidP="00766FB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BA2B4B">
              <w:rPr>
                <w:rFonts w:cstheme="minorHAnsi"/>
                <w:sz w:val="20"/>
                <w:szCs w:val="20"/>
              </w:rPr>
              <w:t>olokwium</w:t>
            </w:r>
            <w:r w:rsidR="00920668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BA2B4B" w:rsidRPr="000A659B" w:rsidRDefault="00BA2B4B" w:rsidP="00766FB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BA2B4B" w:rsidRPr="000A659B" w:rsidTr="00214605">
        <w:trPr>
          <w:trHeight w:val="534"/>
        </w:trPr>
        <w:tc>
          <w:tcPr>
            <w:tcW w:w="4730" w:type="dxa"/>
            <w:gridSpan w:val="5"/>
          </w:tcPr>
          <w:p w:rsidR="00BA2B4B" w:rsidRPr="00B37252" w:rsidRDefault="00712BF0" w:rsidP="00766F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mechanizmy, cele i zasady leczenia uzależnień od substancji psychoaktywnych</w:t>
            </w:r>
          </w:p>
        </w:tc>
        <w:tc>
          <w:tcPr>
            <w:tcW w:w="1352" w:type="dxa"/>
            <w:gridSpan w:val="2"/>
            <w:vMerge/>
          </w:tcPr>
          <w:p w:rsidR="00BA2B4B" w:rsidRPr="00730125" w:rsidRDefault="00BA2B4B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BA2B4B" w:rsidRPr="00A261A4" w:rsidRDefault="005E307D" w:rsidP="00712BF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BA2B4B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 w:rsidR="00712BF0">
              <w:rPr>
                <w:rFonts w:eastAsia="Times New Roman" w:cstheme="minorHAnsi"/>
                <w:sz w:val="20"/>
                <w:szCs w:val="20"/>
                <w:lang w:eastAsia="pl-PL"/>
              </w:rPr>
              <w:t>118</w:t>
            </w:r>
          </w:p>
        </w:tc>
        <w:tc>
          <w:tcPr>
            <w:tcW w:w="2535" w:type="dxa"/>
            <w:gridSpan w:val="4"/>
            <w:vMerge/>
          </w:tcPr>
          <w:p w:rsidR="00BA2B4B" w:rsidRDefault="00BA2B4B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C45D5" w:rsidRPr="000A659B" w:rsidTr="00904C06">
        <w:trPr>
          <w:trHeight w:val="356"/>
        </w:trPr>
        <w:tc>
          <w:tcPr>
            <w:tcW w:w="9732" w:type="dxa"/>
            <w:gridSpan w:val="14"/>
          </w:tcPr>
          <w:p w:rsidR="001C45D5" w:rsidRDefault="001C45D5" w:rsidP="00766FB5">
            <w:pPr>
              <w:rPr>
                <w:rFonts w:cstheme="minorHAnsi"/>
                <w:sz w:val="20"/>
                <w:szCs w:val="20"/>
              </w:rPr>
            </w:pPr>
            <w:r w:rsidRPr="009B260A">
              <w:rPr>
                <w:b/>
                <w:sz w:val="24"/>
              </w:rPr>
              <w:t>Umiejętności- Student potrafi</w:t>
            </w:r>
          </w:p>
        </w:tc>
      </w:tr>
      <w:tr w:rsidR="00920668" w:rsidRPr="000A659B" w:rsidTr="00E200EA">
        <w:trPr>
          <w:trHeight w:val="356"/>
        </w:trPr>
        <w:tc>
          <w:tcPr>
            <w:tcW w:w="4730" w:type="dxa"/>
            <w:gridSpan w:val="5"/>
          </w:tcPr>
          <w:p w:rsidR="00920668" w:rsidRDefault="005F39E9" w:rsidP="00766FB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zinterpretować wyniki podstawowych badań toksykologicznych</w:t>
            </w:r>
          </w:p>
        </w:tc>
        <w:tc>
          <w:tcPr>
            <w:tcW w:w="1352" w:type="dxa"/>
            <w:gridSpan w:val="2"/>
            <w:vMerge w:val="restart"/>
          </w:tcPr>
          <w:p w:rsidR="00920668" w:rsidRDefault="00920668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920668" w:rsidRDefault="00920668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920668" w:rsidRDefault="00920668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920668" w:rsidRPr="00730125" w:rsidRDefault="00920668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P6S_UO</w:t>
            </w:r>
          </w:p>
        </w:tc>
        <w:tc>
          <w:tcPr>
            <w:tcW w:w="1115" w:type="dxa"/>
            <w:gridSpan w:val="3"/>
          </w:tcPr>
          <w:p w:rsidR="00920668" w:rsidRDefault="00920668" w:rsidP="005F39E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 w:rsidR="005F39E9">
              <w:rPr>
                <w:rFonts w:eastAsia="Times New Roman" w:cstheme="minorHAnsi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2535" w:type="dxa"/>
            <w:gridSpan w:val="4"/>
            <w:vMerge w:val="restart"/>
          </w:tcPr>
          <w:p w:rsidR="00920668" w:rsidRDefault="00822F61" w:rsidP="00766FB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aktywność</w:t>
            </w:r>
          </w:p>
        </w:tc>
      </w:tr>
      <w:tr w:rsidR="00920668" w:rsidRPr="000A659B" w:rsidTr="00E200EA">
        <w:trPr>
          <w:trHeight w:val="356"/>
        </w:trPr>
        <w:tc>
          <w:tcPr>
            <w:tcW w:w="4730" w:type="dxa"/>
            <w:gridSpan w:val="5"/>
          </w:tcPr>
          <w:p w:rsidR="00920668" w:rsidRDefault="00920668" w:rsidP="005F39E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rozpoznawać </w:t>
            </w:r>
            <w:r w:rsidR="005F39E9">
              <w:rPr>
                <w:rFonts w:cstheme="minorHAnsi"/>
                <w:sz w:val="20"/>
                <w:szCs w:val="20"/>
              </w:rPr>
              <w:t>toksydromy</w:t>
            </w:r>
          </w:p>
        </w:tc>
        <w:tc>
          <w:tcPr>
            <w:tcW w:w="1352" w:type="dxa"/>
            <w:gridSpan w:val="2"/>
            <w:vMerge/>
          </w:tcPr>
          <w:p w:rsidR="00920668" w:rsidRDefault="00920668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920668" w:rsidRDefault="00920668" w:rsidP="005F39E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20668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 w:rsidR="005F39E9">
              <w:rPr>
                <w:rFonts w:eastAsia="Times New Roman" w:cstheme="minorHAnsi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2535" w:type="dxa"/>
            <w:gridSpan w:val="4"/>
            <w:vMerge/>
          </w:tcPr>
          <w:p w:rsidR="00920668" w:rsidRDefault="00920668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20668" w:rsidRPr="000A659B" w:rsidTr="00E200EA">
        <w:trPr>
          <w:trHeight w:val="356"/>
        </w:trPr>
        <w:tc>
          <w:tcPr>
            <w:tcW w:w="4730" w:type="dxa"/>
            <w:gridSpan w:val="5"/>
          </w:tcPr>
          <w:p w:rsidR="00920668" w:rsidRDefault="002B2C78" w:rsidP="00766FB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szacować niebezpieczeństwo toksykologiczne w określonych grupach wiekowych i w różnych stanach klinicznych</w:t>
            </w:r>
          </w:p>
        </w:tc>
        <w:tc>
          <w:tcPr>
            <w:tcW w:w="1352" w:type="dxa"/>
            <w:gridSpan w:val="2"/>
            <w:vMerge/>
          </w:tcPr>
          <w:p w:rsidR="00920668" w:rsidRDefault="00920668" w:rsidP="00766FB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920668" w:rsidRPr="00920668" w:rsidRDefault="00920668" w:rsidP="002B2C7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20668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 w:rsidR="002B2C78">
              <w:rPr>
                <w:rFonts w:eastAsia="Times New Roman" w:cstheme="minorHAnsi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2535" w:type="dxa"/>
            <w:gridSpan w:val="4"/>
            <w:vMerge/>
          </w:tcPr>
          <w:p w:rsidR="00920668" w:rsidRDefault="00920668" w:rsidP="00766FB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2B2C78" w:rsidTr="00AD3F08">
        <w:tc>
          <w:tcPr>
            <w:tcW w:w="3796" w:type="dxa"/>
            <w:gridSpan w:val="3"/>
          </w:tcPr>
          <w:p w:rsidR="002B2C78" w:rsidRDefault="002B2C78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2B2C78" w:rsidRPr="00B4771B" w:rsidRDefault="002B2C7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2B2C78" w:rsidRPr="00B4771B" w:rsidRDefault="002B2C78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2B2C78" w:rsidRPr="00B4771B" w:rsidRDefault="002B2C7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2B2C78" w:rsidRDefault="002B2C78" w:rsidP="00AD3F08">
            <w:pPr>
              <w:jc w:val="center"/>
            </w:pPr>
          </w:p>
          <w:p w:rsidR="002B2C78" w:rsidRPr="00B4771B" w:rsidRDefault="002B2C78" w:rsidP="00AD3F08">
            <w:pPr>
              <w:jc w:val="center"/>
            </w:pPr>
            <w:r>
              <w:t>1</w:t>
            </w:r>
          </w:p>
        </w:tc>
      </w:tr>
      <w:tr w:rsidR="002B2C78" w:rsidTr="00AD3F08">
        <w:tc>
          <w:tcPr>
            <w:tcW w:w="3796" w:type="dxa"/>
            <w:gridSpan w:val="3"/>
          </w:tcPr>
          <w:p w:rsidR="002B2C78" w:rsidRDefault="002B2C78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2B2C78" w:rsidRPr="00B4771B" w:rsidRDefault="002B2C7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2B2C78" w:rsidRPr="00B4771B" w:rsidRDefault="002B2C78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2B2C78" w:rsidRPr="00B4771B" w:rsidRDefault="002B2C7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2B2C78" w:rsidRPr="00B4771B" w:rsidRDefault="002B2C78" w:rsidP="00AD3F08">
            <w:pPr>
              <w:jc w:val="center"/>
            </w:pPr>
          </w:p>
        </w:tc>
      </w:tr>
      <w:tr w:rsidR="002B2C78" w:rsidTr="00AD3F08">
        <w:tc>
          <w:tcPr>
            <w:tcW w:w="3796" w:type="dxa"/>
            <w:gridSpan w:val="3"/>
          </w:tcPr>
          <w:p w:rsidR="002B2C78" w:rsidRDefault="002B2C7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2B2C78" w:rsidRPr="00B4771B" w:rsidRDefault="002B2C7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2B2C78" w:rsidRPr="00B4771B" w:rsidRDefault="002B2C78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2B2C78" w:rsidRPr="00B4771B" w:rsidRDefault="002B2C7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2B2C78" w:rsidRPr="00B4771B" w:rsidRDefault="002B2C7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C9522C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2B2C78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AD3F08" w:rsidRPr="00B4771B" w:rsidRDefault="00C9522C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E200EA" w:rsidP="00AD3F08">
            <w:pPr>
              <w:jc w:val="center"/>
            </w:pPr>
            <w:r>
              <w:t>1</w:t>
            </w:r>
          </w:p>
        </w:tc>
      </w:tr>
      <w:tr w:rsidR="00822F61" w:rsidTr="00AD3F08">
        <w:tc>
          <w:tcPr>
            <w:tcW w:w="3796" w:type="dxa"/>
            <w:gridSpan w:val="3"/>
          </w:tcPr>
          <w:p w:rsidR="00822F61" w:rsidRPr="00AE2A00" w:rsidRDefault="00822F61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822F61" w:rsidRPr="00B4771B" w:rsidRDefault="002B2C78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 w:val="restart"/>
          </w:tcPr>
          <w:p w:rsidR="00822F61" w:rsidRDefault="00822F61" w:rsidP="00AD3F08">
            <w:pPr>
              <w:jc w:val="center"/>
            </w:pPr>
          </w:p>
          <w:p w:rsidR="00822F61" w:rsidRPr="00B4771B" w:rsidRDefault="002B2C78" w:rsidP="00AD3F08">
            <w:pPr>
              <w:jc w:val="center"/>
            </w:pPr>
            <w:r>
              <w:t>2</w:t>
            </w:r>
          </w:p>
          <w:p w:rsidR="00822F61" w:rsidRPr="00B4771B" w:rsidRDefault="00822F61" w:rsidP="00AD3F08">
            <w:pPr>
              <w:jc w:val="center"/>
            </w:pPr>
            <w:r>
              <w:t xml:space="preserve"> </w:t>
            </w:r>
          </w:p>
        </w:tc>
      </w:tr>
      <w:tr w:rsidR="00822F61" w:rsidTr="00AD3F08">
        <w:tc>
          <w:tcPr>
            <w:tcW w:w="3796" w:type="dxa"/>
            <w:gridSpan w:val="3"/>
          </w:tcPr>
          <w:p w:rsidR="00822F61" w:rsidRPr="00AE2A00" w:rsidRDefault="00822F61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822F61" w:rsidRPr="00B4771B" w:rsidRDefault="002B2C78" w:rsidP="00AD3F08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/>
          </w:tcPr>
          <w:p w:rsidR="00822F61" w:rsidRPr="00B4771B" w:rsidRDefault="00822F61" w:rsidP="00AD3F08">
            <w:pPr>
              <w:jc w:val="center"/>
            </w:pPr>
          </w:p>
        </w:tc>
      </w:tr>
      <w:tr w:rsidR="00822F61" w:rsidTr="00AD3F08">
        <w:tc>
          <w:tcPr>
            <w:tcW w:w="3796" w:type="dxa"/>
            <w:gridSpan w:val="3"/>
          </w:tcPr>
          <w:p w:rsidR="00822F61" w:rsidRPr="00AE2A00" w:rsidRDefault="00822F61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822F61" w:rsidRPr="00B4771B" w:rsidRDefault="002B2C7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  <w:vMerge/>
          </w:tcPr>
          <w:p w:rsidR="00822F61" w:rsidRPr="00B4771B" w:rsidRDefault="00822F61" w:rsidP="00AD3F08">
            <w:pPr>
              <w:jc w:val="center"/>
            </w:pP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RPr="00F954BF" w:rsidTr="00696A2C">
        <w:tc>
          <w:tcPr>
            <w:tcW w:w="9732" w:type="dxa"/>
            <w:gridSpan w:val="14"/>
          </w:tcPr>
          <w:p w:rsidR="00AD3F08" w:rsidRPr="00F954BF" w:rsidRDefault="00AD3F08" w:rsidP="00AD3F0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71269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RPr="00F954BF" w:rsidTr="00AD3F08">
        <w:tc>
          <w:tcPr>
            <w:tcW w:w="2078" w:type="dxa"/>
            <w:gridSpan w:val="2"/>
          </w:tcPr>
          <w:p w:rsidR="00AD3F08" w:rsidRPr="00F954BF" w:rsidRDefault="00AD3F08" w:rsidP="00AD3F08">
            <w:pPr>
              <w:rPr>
                <w:b/>
                <w:color w:val="FF0000"/>
              </w:rPr>
            </w:pPr>
            <w:r w:rsidRPr="00E71269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E71269" w:rsidRDefault="00153595" w:rsidP="00E71269">
            <w:pPr>
              <w:pStyle w:val="Akapitzlist"/>
              <w:numPr>
                <w:ilvl w:val="0"/>
                <w:numId w:val="5"/>
              </w:numPr>
              <w:rPr>
                <w:rFonts w:eastAsia="Times New Roman" w:cs="Calibri"/>
                <w:bCs/>
                <w:lang w:eastAsia="pl-PL"/>
              </w:rPr>
            </w:pPr>
            <w:r w:rsidRPr="00E71269">
              <w:rPr>
                <w:rFonts w:eastAsia="Times New Roman" w:cs="Calibri"/>
                <w:bCs/>
                <w:lang w:eastAsia="pl-PL"/>
              </w:rPr>
              <w:t>Teresiński G (red.) Medycyna sądowa, t.2, PZWL 2020</w:t>
            </w:r>
          </w:p>
          <w:p w:rsidR="00AD3F08" w:rsidRPr="009257BE" w:rsidRDefault="00AD3F08" w:rsidP="009257BE">
            <w:pPr>
              <w:ind w:left="360"/>
              <w:rPr>
                <w:rFonts w:eastAsia="Times New Roman" w:cs="Calibri"/>
                <w:bCs/>
                <w:lang w:eastAsia="pl-PL"/>
              </w:rPr>
            </w:pPr>
          </w:p>
        </w:tc>
      </w:tr>
      <w:tr w:rsidR="00AD3F08" w:rsidRPr="00F954BF" w:rsidTr="00AD3F08">
        <w:tc>
          <w:tcPr>
            <w:tcW w:w="2078" w:type="dxa"/>
            <w:gridSpan w:val="2"/>
          </w:tcPr>
          <w:p w:rsidR="00AD3F08" w:rsidRPr="00F954BF" w:rsidRDefault="00AD3F08" w:rsidP="00AD3F08">
            <w:pPr>
              <w:rPr>
                <w:b/>
                <w:color w:val="FF0000"/>
              </w:rPr>
            </w:pPr>
            <w:r w:rsidRPr="00E71269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153595" w:rsidRPr="00153595" w:rsidRDefault="00153595" w:rsidP="009257BE">
            <w:pPr>
              <w:pStyle w:val="Akapitzlist"/>
              <w:numPr>
                <w:ilvl w:val="0"/>
                <w:numId w:val="4"/>
              </w:numPr>
              <w:rPr>
                <w:rFonts w:cs="Calibri"/>
                <w:bCs/>
                <w:lang w:val="en-US"/>
              </w:rPr>
            </w:pPr>
            <w:r w:rsidRPr="00153595">
              <w:rPr>
                <w:rFonts w:cs="Calibri"/>
                <w:bCs/>
                <w:lang w:val="en-US"/>
              </w:rPr>
              <w:t>Farmakologia i toksykologia, Mutschler, Geisslinger, MedPharm, 2013</w:t>
            </w:r>
          </w:p>
          <w:p w:rsidR="00153595" w:rsidRDefault="00153595" w:rsidP="009257BE">
            <w:pPr>
              <w:numPr>
                <w:ilvl w:val="0"/>
                <w:numId w:val="4"/>
              </w:numPr>
              <w:rPr>
                <w:rFonts w:eastAsia="Times New Roman" w:cs="Calibri"/>
                <w:bCs/>
                <w:lang w:val="en-US" w:eastAsia="pl-PL"/>
              </w:rPr>
            </w:pPr>
            <w:proofErr w:type="spellStart"/>
            <w:r w:rsidRPr="00130F0B">
              <w:rPr>
                <w:rFonts w:eastAsia="Times New Roman" w:cs="Calibri"/>
                <w:bCs/>
                <w:lang w:val="en-US" w:eastAsia="pl-PL"/>
              </w:rPr>
              <w:t>Karch</w:t>
            </w:r>
            <w:proofErr w:type="spellEnd"/>
            <w:r w:rsidRPr="00130F0B">
              <w:rPr>
                <w:rFonts w:eastAsia="Times New Roman" w:cs="Calibri"/>
                <w:bCs/>
                <w:lang w:val="en-US" w:eastAsia="pl-PL"/>
              </w:rPr>
              <w:t xml:space="preserve"> SB. The </w:t>
            </w:r>
            <w:proofErr w:type="spellStart"/>
            <w:r w:rsidRPr="00130F0B">
              <w:rPr>
                <w:rFonts w:eastAsia="Times New Roman" w:cs="Calibri"/>
                <w:bCs/>
                <w:lang w:val="en-US" w:eastAsia="pl-PL"/>
              </w:rPr>
              <w:t>patology</w:t>
            </w:r>
            <w:proofErr w:type="spellEnd"/>
            <w:r w:rsidRPr="00130F0B">
              <w:rPr>
                <w:rFonts w:eastAsia="Times New Roman" w:cs="Calibri"/>
                <w:bCs/>
                <w:lang w:val="en-US" w:eastAsia="pl-PL"/>
              </w:rPr>
              <w:t xml:space="preserve"> of drug abuse, CRC Press, 2021</w:t>
            </w:r>
          </w:p>
          <w:p w:rsidR="009257BE" w:rsidRDefault="009257BE" w:rsidP="009257BE">
            <w:pPr>
              <w:pStyle w:val="Akapitzlist"/>
              <w:numPr>
                <w:ilvl w:val="0"/>
                <w:numId w:val="4"/>
              </w:numPr>
              <w:rPr>
                <w:rFonts w:eastAsia="Times New Roman" w:cs="Calibri"/>
                <w:bCs/>
                <w:lang w:eastAsia="pl-PL"/>
              </w:rPr>
            </w:pPr>
            <w:proofErr w:type="spellStart"/>
            <w:r w:rsidRPr="00E71269">
              <w:rPr>
                <w:rFonts w:eastAsia="Times New Roman" w:cs="Calibri"/>
                <w:bCs/>
                <w:lang w:eastAsia="pl-PL"/>
              </w:rPr>
              <w:t>Seńczuk</w:t>
            </w:r>
            <w:proofErr w:type="spellEnd"/>
            <w:r w:rsidRPr="00E71269">
              <w:rPr>
                <w:rFonts w:eastAsia="Times New Roman" w:cs="Calibri"/>
                <w:bCs/>
                <w:lang w:eastAsia="pl-PL"/>
              </w:rPr>
              <w:t xml:space="preserve"> W (red.). Toksykologia współczesna. PZWL, Warszawa, 2005.</w:t>
            </w:r>
          </w:p>
          <w:p w:rsidR="009257BE" w:rsidRPr="00130F0B" w:rsidRDefault="009257BE" w:rsidP="009257BE">
            <w:pPr>
              <w:numPr>
                <w:ilvl w:val="0"/>
                <w:numId w:val="4"/>
              </w:numPr>
              <w:rPr>
                <w:rFonts w:eastAsia="Times New Roman" w:cs="Calibri"/>
                <w:bCs/>
                <w:lang w:val="en-US" w:eastAsia="pl-PL"/>
              </w:rPr>
            </w:pPr>
            <w:r w:rsidRPr="00E71269">
              <w:rPr>
                <w:rFonts w:eastAsia="Times New Roman" w:cs="Calibri"/>
                <w:bCs/>
                <w:lang w:eastAsia="pl-PL"/>
              </w:rPr>
              <w:lastRenderedPageBreak/>
              <w:t>Pach J (red.) Zarys toksykologii klinicznej, WUJ, 2009</w:t>
            </w:r>
          </w:p>
          <w:p w:rsidR="00153595" w:rsidRPr="00E71269" w:rsidRDefault="00153595" w:rsidP="009257BE">
            <w:pPr>
              <w:numPr>
                <w:ilvl w:val="0"/>
                <w:numId w:val="4"/>
              </w:numPr>
              <w:rPr>
                <w:rFonts w:eastAsia="Times New Roman" w:cs="Calibri"/>
                <w:bCs/>
                <w:lang w:val="en-US" w:eastAsia="pl-PL"/>
              </w:rPr>
            </w:pPr>
            <w:proofErr w:type="spellStart"/>
            <w:r w:rsidRPr="00130F0B">
              <w:rPr>
                <w:rFonts w:eastAsia="Times New Roman" w:cs="Calibri"/>
                <w:bCs/>
                <w:lang w:val="en-US" w:eastAsia="pl-PL"/>
              </w:rPr>
              <w:t>Testrail</w:t>
            </w:r>
            <w:proofErr w:type="spellEnd"/>
            <w:r w:rsidRPr="00130F0B">
              <w:rPr>
                <w:rFonts w:eastAsia="Times New Roman" w:cs="Calibri"/>
                <w:bCs/>
                <w:lang w:val="en-US" w:eastAsia="pl-PL"/>
              </w:rPr>
              <w:t xml:space="preserve"> JH. Criminal Poisoning: investigation guide for law enforcement, toxicologist, forensic scientist, and attorneys. </w:t>
            </w:r>
            <w:r w:rsidRPr="00130F0B">
              <w:rPr>
                <w:rFonts w:cs="Calibri"/>
                <w:shd w:val="clear" w:color="auto" w:fill="FFFFFF"/>
              </w:rPr>
              <w:t>Humana Press 2007</w:t>
            </w:r>
            <w:r>
              <w:rPr>
                <w:rFonts w:cs="Calibri"/>
                <w:shd w:val="clear" w:color="auto" w:fill="FFFFFF"/>
              </w:rPr>
              <w:t xml:space="preserve"> </w:t>
            </w:r>
          </w:p>
        </w:tc>
      </w:tr>
      <w:tr w:rsidR="009257BE" w:rsidRPr="00F954BF" w:rsidTr="00AD3F08">
        <w:tc>
          <w:tcPr>
            <w:tcW w:w="2078" w:type="dxa"/>
            <w:gridSpan w:val="2"/>
          </w:tcPr>
          <w:p w:rsidR="009257BE" w:rsidRPr="00E71269" w:rsidRDefault="009257BE" w:rsidP="00AD3F08">
            <w:pPr>
              <w:rPr>
                <w:b/>
              </w:rPr>
            </w:pPr>
          </w:p>
        </w:tc>
        <w:tc>
          <w:tcPr>
            <w:tcW w:w="7654" w:type="dxa"/>
            <w:gridSpan w:val="12"/>
          </w:tcPr>
          <w:p w:rsidR="009257BE" w:rsidRPr="009257BE" w:rsidRDefault="009257BE" w:rsidP="009257BE">
            <w:pPr>
              <w:rPr>
                <w:rFonts w:cs="Calibri"/>
                <w:bCs/>
                <w:lang w:val="en-US"/>
              </w:rPr>
            </w:pPr>
          </w:p>
        </w:tc>
      </w:tr>
      <w:tr w:rsidR="00E71269" w:rsidRPr="00E71269" w:rsidTr="00696A2C">
        <w:tc>
          <w:tcPr>
            <w:tcW w:w="9732" w:type="dxa"/>
            <w:gridSpan w:val="14"/>
          </w:tcPr>
          <w:p w:rsidR="00AD3F08" w:rsidRPr="00E71269" w:rsidRDefault="00AD3F08" w:rsidP="00AD3F08">
            <w:pPr>
              <w:jc w:val="center"/>
              <w:rPr>
                <w:b/>
                <w:sz w:val="20"/>
              </w:rPr>
            </w:pPr>
            <w:r w:rsidRPr="00E71269">
              <w:rPr>
                <w:b/>
                <w:sz w:val="28"/>
              </w:rPr>
              <w:t>Treści programowe</w:t>
            </w:r>
          </w:p>
        </w:tc>
      </w:tr>
      <w:tr w:rsidR="00E71269" w:rsidRPr="00E71269" w:rsidTr="00AD3F08">
        <w:tc>
          <w:tcPr>
            <w:tcW w:w="515" w:type="dxa"/>
          </w:tcPr>
          <w:p w:rsidR="00AD3F08" w:rsidRPr="00E71269" w:rsidRDefault="00AD3F08" w:rsidP="00AD3F08">
            <w:pPr>
              <w:jc w:val="center"/>
              <w:rPr>
                <w:b/>
                <w:sz w:val="20"/>
              </w:rPr>
            </w:pPr>
            <w:r w:rsidRPr="00E71269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E71269" w:rsidRDefault="00AD3F08" w:rsidP="00AD3F08">
            <w:pPr>
              <w:jc w:val="center"/>
              <w:rPr>
                <w:b/>
                <w:sz w:val="20"/>
              </w:rPr>
            </w:pPr>
            <w:r w:rsidRPr="00E71269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E71269" w:rsidRDefault="00AD3F08" w:rsidP="00AD3F08">
            <w:pPr>
              <w:jc w:val="center"/>
              <w:rPr>
                <w:b/>
                <w:sz w:val="20"/>
              </w:rPr>
            </w:pPr>
            <w:r w:rsidRPr="00E71269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E71269" w:rsidRDefault="00AD3F08" w:rsidP="00AD3F08">
            <w:pPr>
              <w:jc w:val="center"/>
              <w:rPr>
                <w:b/>
                <w:sz w:val="20"/>
              </w:rPr>
            </w:pPr>
            <w:r w:rsidRPr="00E71269">
              <w:rPr>
                <w:b/>
                <w:sz w:val="20"/>
              </w:rPr>
              <w:t>Liczba godzin</w:t>
            </w:r>
          </w:p>
        </w:tc>
      </w:tr>
      <w:tr w:rsidR="00E71269" w:rsidRPr="00E71269" w:rsidTr="00696A2C">
        <w:tc>
          <w:tcPr>
            <w:tcW w:w="9732" w:type="dxa"/>
            <w:gridSpan w:val="14"/>
          </w:tcPr>
          <w:p w:rsidR="00AD3F08" w:rsidRPr="00E71269" w:rsidRDefault="00AD3F08" w:rsidP="002B2C78">
            <w:pPr>
              <w:jc w:val="both"/>
              <w:rPr>
                <w:b/>
                <w:sz w:val="24"/>
                <w:szCs w:val="24"/>
              </w:rPr>
            </w:pPr>
            <w:r w:rsidRPr="00E71269">
              <w:rPr>
                <w:b/>
                <w:sz w:val="24"/>
                <w:szCs w:val="24"/>
              </w:rPr>
              <w:t xml:space="preserve">SEMESTR </w:t>
            </w:r>
            <w:r w:rsidR="002B2C78" w:rsidRPr="00E71269">
              <w:rPr>
                <w:b/>
                <w:sz w:val="24"/>
                <w:szCs w:val="24"/>
              </w:rPr>
              <w:t>2</w:t>
            </w:r>
          </w:p>
        </w:tc>
      </w:tr>
      <w:tr w:rsidR="00E71269" w:rsidRPr="00E71269" w:rsidTr="00AD3F08">
        <w:tc>
          <w:tcPr>
            <w:tcW w:w="515" w:type="dxa"/>
          </w:tcPr>
          <w:p w:rsidR="00AD3F08" w:rsidRPr="00E71269" w:rsidRDefault="00AD3F08" w:rsidP="00AD3F08">
            <w:pPr>
              <w:jc w:val="center"/>
              <w:rPr>
                <w:b/>
              </w:rPr>
            </w:pPr>
            <w:r w:rsidRPr="00E71269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AD3F08" w:rsidRPr="00E71269" w:rsidRDefault="00E71269" w:rsidP="00AD3F08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Wiadomości ogólne o toksykologii klinicznej w tym historia trucizn i zatruć, rola i znaczenie ośrodków informacji toksykologicznej, definicje podstawowych pojęć w toksykologii klinicznej</w:t>
            </w:r>
          </w:p>
        </w:tc>
        <w:tc>
          <w:tcPr>
            <w:tcW w:w="1886" w:type="dxa"/>
            <w:gridSpan w:val="4"/>
          </w:tcPr>
          <w:p w:rsidR="00AD3F08" w:rsidRPr="00E71269" w:rsidRDefault="00AD3F08" w:rsidP="00AD3F08">
            <w:pPr>
              <w:rPr>
                <w:b/>
              </w:rPr>
            </w:pPr>
            <w:r w:rsidRPr="00E71269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D3F08" w:rsidRPr="00E71269" w:rsidRDefault="00F954BF" w:rsidP="00AD3F08">
            <w:pPr>
              <w:rPr>
                <w:b/>
              </w:rPr>
            </w:pPr>
            <w:r w:rsidRPr="00E71269">
              <w:rPr>
                <w:b/>
              </w:rPr>
              <w:t>2</w:t>
            </w:r>
          </w:p>
        </w:tc>
      </w:tr>
      <w:tr w:rsidR="00E71269" w:rsidRPr="00E71269" w:rsidTr="00AD3F08">
        <w:tc>
          <w:tcPr>
            <w:tcW w:w="515" w:type="dxa"/>
          </w:tcPr>
          <w:p w:rsidR="00F954BF" w:rsidRPr="00E71269" w:rsidRDefault="00F954BF" w:rsidP="00F954BF">
            <w:pPr>
              <w:jc w:val="center"/>
              <w:rPr>
                <w:b/>
              </w:rPr>
            </w:pPr>
            <w:r w:rsidRPr="00E71269"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F954BF" w:rsidRPr="00E71269" w:rsidRDefault="00E71269" w:rsidP="00F954BF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Zespoły specyficznych objawów klinicznych i uszkodzenia narządowe -toksydromy</w:t>
            </w:r>
          </w:p>
        </w:tc>
        <w:tc>
          <w:tcPr>
            <w:tcW w:w="1886" w:type="dxa"/>
            <w:gridSpan w:val="4"/>
          </w:tcPr>
          <w:p w:rsidR="00F954BF" w:rsidRPr="00E71269" w:rsidRDefault="00F954BF" w:rsidP="00F954BF">
            <w:r w:rsidRPr="00E71269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954BF" w:rsidRPr="00E71269" w:rsidRDefault="00F954BF" w:rsidP="00F954BF">
            <w:r w:rsidRPr="00E71269">
              <w:rPr>
                <w:b/>
              </w:rPr>
              <w:t>2</w:t>
            </w:r>
          </w:p>
        </w:tc>
      </w:tr>
      <w:tr w:rsidR="00E71269" w:rsidRPr="00E71269" w:rsidTr="00AD3F08">
        <w:tc>
          <w:tcPr>
            <w:tcW w:w="515" w:type="dxa"/>
          </w:tcPr>
          <w:p w:rsidR="00F954BF" w:rsidRPr="00E71269" w:rsidRDefault="00F954BF" w:rsidP="00F954BF">
            <w:pPr>
              <w:jc w:val="center"/>
              <w:rPr>
                <w:b/>
              </w:rPr>
            </w:pPr>
            <w:r w:rsidRPr="00E71269"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F954BF" w:rsidRPr="00E71269" w:rsidRDefault="00E71269" w:rsidP="00E71269">
            <w:pPr>
              <w:ind w:left="-63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Leki nasenne i uspokajające – benzodiazepiny, barbiturany, inne leki nasenno-uspokajające - mechanizm działania, właściwości </w:t>
            </w:r>
            <w:proofErr w:type="spellStart"/>
            <w:r>
              <w:rPr>
                <w:rFonts w:cstheme="minorHAnsi"/>
                <w:bCs/>
              </w:rPr>
              <w:t>farmako</w:t>
            </w:r>
            <w:proofErr w:type="spellEnd"/>
            <w:r>
              <w:rPr>
                <w:rFonts w:cstheme="minorHAnsi"/>
                <w:bCs/>
              </w:rPr>
              <w:t xml:space="preserve"> i </w:t>
            </w:r>
            <w:proofErr w:type="spellStart"/>
            <w:r>
              <w:rPr>
                <w:rFonts w:cstheme="minorHAnsi"/>
                <w:bCs/>
              </w:rPr>
              <w:t>toksykokinetyczne</w:t>
            </w:r>
            <w:proofErr w:type="spellEnd"/>
            <w:r>
              <w:rPr>
                <w:rFonts w:cstheme="minorHAnsi"/>
                <w:bCs/>
              </w:rPr>
              <w:t xml:space="preserve">, patofizjologia zatruć, objawy kliniczne zatruć, diagnostyka toksykologiczna </w:t>
            </w:r>
          </w:p>
        </w:tc>
        <w:tc>
          <w:tcPr>
            <w:tcW w:w="1886" w:type="dxa"/>
            <w:gridSpan w:val="4"/>
          </w:tcPr>
          <w:p w:rsidR="00F954BF" w:rsidRPr="00E71269" w:rsidRDefault="00F954BF" w:rsidP="00F954BF">
            <w:r w:rsidRPr="00E71269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954BF" w:rsidRPr="00E71269" w:rsidRDefault="00F954BF" w:rsidP="00F954BF">
            <w:r w:rsidRPr="00E71269">
              <w:rPr>
                <w:b/>
              </w:rPr>
              <w:t>2</w:t>
            </w:r>
          </w:p>
        </w:tc>
      </w:tr>
      <w:tr w:rsidR="00E71269" w:rsidRPr="00E71269" w:rsidTr="00AD3F08">
        <w:tc>
          <w:tcPr>
            <w:tcW w:w="515" w:type="dxa"/>
          </w:tcPr>
          <w:p w:rsidR="00F954BF" w:rsidRPr="00E71269" w:rsidRDefault="00F954BF" w:rsidP="00F954BF">
            <w:pPr>
              <w:jc w:val="center"/>
              <w:rPr>
                <w:b/>
              </w:rPr>
            </w:pPr>
            <w:r w:rsidRPr="00E71269"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F954BF" w:rsidRPr="00E71269" w:rsidRDefault="00E71269" w:rsidP="00F954BF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Leki psychotropowe – trójpierścieniowe leki przeciwdepresyjne, inhibitory wychwytu zwrotnego serotoniny, inhibitory monoaminooksydazy, leki </w:t>
            </w:r>
            <w:proofErr w:type="spellStart"/>
            <w:r>
              <w:rPr>
                <w:rFonts w:cstheme="minorHAnsi"/>
                <w:bCs/>
              </w:rPr>
              <w:t>przeciwpsychotyczne</w:t>
            </w:r>
            <w:proofErr w:type="spellEnd"/>
            <w:r>
              <w:rPr>
                <w:rFonts w:cstheme="minorHAnsi"/>
                <w:bCs/>
              </w:rPr>
              <w:t xml:space="preserve"> – </w:t>
            </w:r>
            <w:proofErr w:type="spellStart"/>
            <w:r>
              <w:rPr>
                <w:rFonts w:cstheme="minorHAnsi"/>
                <w:bCs/>
              </w:rPr>
              <w:t>neuroleptyki</w:t>
            </w:r>
            <w:proofErr w:type="spellEnd"/>
            <w:r>
              <w:rPr>
                <w:rFonts w:cstheme="minorHAnsi"/>
                <w:bCs/>
              </w:rPr>
              <w:t xml:space="preserve"> klasyczne i atypowe - mechanizm działania, właściwości </w:t>
            </w:r>
            <w:proofErr w:type="spellStart"/>
            <w:r>
              <w:rPr>
                <w:rFonts w:cstheme="minorHAnsi"/>
                <w:bCs/>
              </w:rPr>
              <w:t>farmako</w:t>
            </w:r>
            <w:proofErr w:type="spellEnd"/>
            <w:r>
              <w:rPr>
                <w:rFonts w:cstheme="minorHAnsi"/>
                <w:bCs/>
              </w:rPr>
              <w:t xml:space="preserve"> i </w:t>
            </w:r>
            <w:proofErr w:type="spellStart"/>
            <w:r>
              <w:rPr>
                <w:rFonts w:cstheme="minorHAnsi"/>
                <w:bCs/>
              </w:rPr>
              <w:t>toksykokinetyczne</w:t>
            </w:r>
            <w:proofErr w:type="spellEnd"/>
            <w:r>
              <w:rPr>
                <w:rFonts w:cstheme="minorHAnsi"/>
                <w:bCs/>
              </w:rPr>
              <w:t>, patofizjologia zatruć, objawy kliniczne zatruć, diagnostyka toksykologiczna</w:t>
            </w:r>
          </w:p>
        </w:tc>
        <w:tc>
          <w:tcPr>
            <w:tcW w:w="1886" w:type="dxa"/>
            <w:gridSpan w:val="4"/>
          </w:tcPr>
          <w:p w:rsidR="00F954BF" w:rsidRPr="00E71269" w:rsidRDefault="00F954BF" w:rsidP="00F954BF">
            <w:r w:rsidRPr="00E71269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954BF" w:rsidRPr="00E71269" w:rsidRDefault="00F954BF" w:rsidP="00F954BF">
            <w:r w:rsidRPr="00E71269">
              <w:rPr>
                <w:b/>
              </w:rPr>
              <w:t>2</w:t>
            </w:r>
          </w:p>
        </w:tc>
      </w:tr>
      <w:tr w:rsidR="00E71269" w:rsidRPr="00E71269" w:rsidTr="00AD3F08">
        <w:tc>
          <w:tcPr>
            <w:tcW w:w="515" w:type="dxa"/>
          </w:tcPr>
          <w:p w:rsidR="00F954BF" w:rsidRPr="00E71269" w:rsidRDefault="00F954BF" w:rsidP="00F954BF">
            <w:pPr>
              <w:jc w:val="center"/>
              <w:rPr>
                <w:b/>
              </w:rPr>
            </w:pPr>
            <w:r w:rsidRPr="00E71269"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F954BF" w:rsidRPr="00E71269" w:rsidRDefault="00EB4C55" w:rsidP="00F954BF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Leki przeciwbólowe i przeciwzapalne – paracetamol, salicylany, niesteroidowe leki przeciwzapalne, opioidy - mechanizm działania, właściwości </w:t>
            </w:r>
            <w:proofErr w:type="spellStart"/>
            <w:r>
              <w:rPr>
                <w:rFonts w:cstheme="minorHAnsi"/>
                <w:bCs/>
              </w:rPr>
              <w:t>farmako</w:t>
            </w:r>
            <w:proofErr w:type="spellEnd"/>
            <w:r>
              <w:rPr>
                <w:rFonts w:cstheme="minorHAnsi"/>
                <w:bCs/>
              </w:rPr>
              <w:t xml:space="preserve"> i </w:t>
            </w:r>
            <w:proofErr w:type="spellStart"/>
            <w:r>
              <w:rPr>
                <w:rFonts w:cstheme="minorHAnsi"/>
                <w:bCs/>
              </w:rPr>
              <w:t>toksykokinetyczne</w:t>
            </w:r>
            <w:proofErr w:type="spellEnd"/>
            <w:r>
              <w:rPr>
                <w:rFonts w:cstheme="minorHAnsi"/>
                <w:bCs/>
              </w:rPr>
              <w:t>, patofizjologia zatruć, objawy kliniczne zatruć, diagnostyka toksykologiczna</w:t>
            </w:r>
          </w:p>
        </w:tc>
        <w:tc>
          <w:tcPr>
            <w:tcW w:w="1886" w:type="dxa"/>
            <w:gridSpan w:val="4"/>
          </w:tcPr>
          <w:p w:rsidR="00F954BF" w:rsidRPr="00E71269" w:rsidRDefault="00F954BF" w:rsidP="00F954BF">
            <w:r w:rsidRPr="00E71269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954BF" w:rsidRPr="00E71269" w:rsidRDefault="00F954BF" w:rsidP="00F954BF">
            <w:r w:rsidRPr="00E71269">
              <w:rPr>
                <w:b/>
              </w:rPr>
              <w:t>2</w:t>
            </w:r>
          </w:p>
        </w:tc>
      </w:tr>
      <w:tr w:rsidR="00E71269" w:rsidRPr="00E71269" w:rsidTr="00AD3F08">
        <w:tc>
          <w:tcPr>
            <w:tcW w:w="515" w:type="dxa"/>
          </w:tcPr>
          <w:p w:rsidR="00822F61" w:rsidRPr="00E71269" w:rsidRDefault="00822F61" w:rsidP="00822F61">
            <w:pPr>
              <w:jc w:val="center"/>
              <w:rPr>
                <w:b/>
              </w:rPr>
            </w:pPr>
            <w:r w:rsidRPr="00E71269"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822F61" w:rsidRPr="00E71269" w:rsidRDefault="00EB4C55" w:rsidP="00822F61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Substancje uzależniające – kokaina, amfetamina i jej pochodne, heroina, marihuana, substancje ułatwiające wykorzystanie na tle seksualnym i rabunkowym</w:t>
            </w:r>
          </w:p>
        </w:tc>
        <w:tc>
          <w:tcPr>
            <w:tcW w:w="1886" w:type="dxa"/>
            <w:gridSpan w:val="4"/>
          </w:tcPr>
          <w:p w:rsidR="00822F61" w:rsidRPr="00E71269" w:rsidRDefault="00214605" w:rsidP="00822F61">
            <w:pPr>
              <w:rPr>
                <w:b/>
              </w:rPr>
            </w:pPr>
            <w:r w:rsidRPr="00E71269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822F61" w:rsidRPr="00E71269" w:rsidRDefault="00822F61" w:rsidP="00214605">
            <w:r w:rsidRPr="00E71269">
              <w:rPr>
                <w:b/>
              </w:rPr>
              <w:t>2</w:t>
            </w:r>
            <w:r w:rsidR="00214605" w:rsidRPr="00E71269">
              <w:rPr>
                <w:b/>
              </w:rPr>
              <w:t xml:space="preserve"> </w:t>
            </w:r>
          </w:p>
        </w:tc>
      </w:tr>
      <w:tr w:rsidR="00EB4C55" w:rsidRPr="00E71269" w:rsidTr="00AD3F08">
        <w:tc>
          <w:tcPr>
            <w:tcW w:w="515" w:type="dxa"/>
          </w:tcPr>
          <w:p w:rsidR="00EB4C55" w:rsidRPr="00E71269" w:rsidRDefault="00EB4C55" w:rsidP="00214605">
            <w:pPr>
              <w:jc w:val="center"/>
              <w:rPr>
                <w:b/>
              </w:rPr>
            </w:pPr>
            <w:r w:rsidRPr="00E71269"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EB4C55" w:rsidRPr="00E71269" w:rsidRDefault="00EB4C55" w:rsidP="00380713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Alkohole – etanol, metanol, izopropanol, glikol etylenowy – </w:t>
            </w:r>
            <w:proofErr w:type="spellStart"/>
            <w:r>
              <w:rPr>
                <w:rFonts w:cstheme="minorHAnsi"/>
                <w:bCs/>
              </w:rPr>
              <w:t>toksykokinetyka</w:t>
            </w:r>
            <w:proofErr w:type="spellEnd"/>
            <w:r>
              <w:rPr>
                <w:rFonts w:cstheme="minorHAnsi"/>
                <w:bCs/>
              </w:rPr>
              <w:t>, patofizjologia, skutki metaboliczne, objawy kliniczne, diagnostyka różnicowa, badania biochemiczne</w:t>
            </w:r>
          </w:p>
        </w:tc>
        <w:tc>
          <w:tcPr>
            <w:tcW w:w="1886" w:type="dxa"/>
            <w:gridSpan w:val="4"/>
          </w:tcPr>
          <w:p w:rsidR="00EB4C55" w:rsidRPr="00E71269" w:rsidRDefault="00EB4C55" w:rsidP="00214605">
            <w:pPr>
              <w:rPr>
                <w:b/>
              </w:rPr>
            </w:pPr>
            <w:r w:rsidRPr="00E71269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EB4C55" w:rsidRPr="00E71269" w:rsidRDefault="00EB4C55" w:rsidP="00214605">
            <w:r w:rsidRPr="00E71269">
              <w:rPr>
                <w:b/>
              </w:rPr>
              <w:t xml:space="preserve">2 </w:t>
            </w:r>
          </w:p>
        </w:tc>
      </w:tr>
      <w:tr w:rsidR="00EB4C55" w:rsidRPr="00E71269" w:rsidTr="00AD3F08">
        <w:tc>
          <w:tcPr>
            <w:tcW w:w="515" w:type="dxa"/>
          </w:tcPr>
          <w:p w:rsidR="00EB4C55" w:rsidRPr="00E71269" w:rsidRDefault="00EB4C55" w:rsidP="00214605">
            <w:pPr>
              <w:jc w:val="center"/>
              <w:rPr>
                <w:b/>
              </w:rPr>
            </w:pPr>
            <w:r w:rsidRPr="00E71269"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EB4C55" w:rsidRPr="00E71269" w:rsidRDefault="00EB4C55" w:rsidP="00380713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Gazy toksyczne – tlenek węgla, związki cyjanowe, siarkowodór – mechanizm zatrucia, kliniczne objawy zatrucia, diagnostyka różnicowa </w:t>
            </w:r>
          </w:p>
        </w:tc>
        <w:tc>
          <w:tcPr>
            <w:tcW w:w="1886" w:type="dxa"/>
            <w:gridSpan w:val="4"/>
          </w:tcPr>
          <w:p w:rsidR="00EB4C55" w:rsidRPr="00E71269" w:rsidRDefault="00EB4C55" w:rsidP="00214605">
            <w:pPr>
              <w:rPr>
                <w:b/>
              </w:rPr>
            </w:pPr>
            <w:r w:rsidRPr="00E71269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EB4C55" w:rsidRPr="00E71269" w:rsidRDefault="00EB4C55" w:rsidP="00214605">
            <w:r w:rsidRPr="00E71269">
              <w:rPr>
                <w:b/>
              </w:rPr>
              <w:t xml:space="preserve">2 </w:t>
            </w:r>
          </w:p>
        </w:tc>
      </w:tr>
      <w:tr w:rsidR="00EB4C55" w:rsidRPr="00E71269" w:rsidTr="00AD3F08">
        <w:tc>
          <w:tcPr>
            <w:tcW w:w="515" w:type="dxa"/>
          </w:tcPr>
          <w:p w:rsidR="00EB4C55" w:rsidRPr="00E71269" w:rsidRDefault="00EB4C55" w:rsidP="00214605">
            <w:pPr>
              <w:jc w:val="center"/>
              <w:rPr>
                <w:b/>
              </w:rPr>
            </w:pPr>
            <w:r w:rsidRPr="00E71269"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EB4C55" w:rsidRPr="00E71269" w:rsidRDefault="00EB4C55" w:rsidP="00380713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Środki ochrony roślin – insektycydy, herbicydy, rodentycydy, fungicydy – mechanizm działania toksycznego, patofizjologia zatrucia, dane </w:t>
            </w:r>
            <w:proofErr w:type="spellStart"/>
            <w:r>
              <w:rPr>
                <w:rFonts w:cstheme="minorHAnsi"/>
                <w:bCs/>
              </w:rPr>
              <w:t>toksykokinetyczne</w:t>
            </w:r>
            <w:proofErr w:type="spellEnd"/>
            <w:r>
              <w:rPr>
                <w:rFonts w:cstheme="minorHAnsi"/>
                <w:bCs/>
              </w:rPr>
              <w:t>, objawy kliniczne, diagnostyka</w:t>
            </w:r>
          </w:p>
        </w:tc>
        <w:tc>
          <w:tcPr>
            <w:tcW w:w="1886" w:type="dxa"/>
            <w:gridSpan w:val="4"/>
          </w:tcPr>
          <w:p w:rsidR="00EB4C55" w:rsidRPr="00E71269" w:rsidRDefault="00EB4C55" w:rsidP="00214605">
            <w:pPr>
              <w:rPr>
                <w:b/>
              </w:rPr>
            </w:pPr>
            <w:r w:rsidRPr="00E71269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EB4C55" w:rsidRPr="00E71269" w:rsidRDefault="00EB4C55" w:rsidP="00214605">
            <w:r w:rsidRPr="00E71269">
              <w:rPr>
                <w:b/>
              </w:rPr>
              <w:t xml:space="preserve">2 </w:t>
            </w:r>
          </w:p>
        </w:tc>
      </w:tr>
      <w:tr w:rsidR="00EB4C55" w:rsidRPr="00E71269" w:rsidTr="00AD3F08">
        <w:tc>
          <w:tcPr>
            <w:tcW w:w="515" w:type="dxa"/>
          </w:tcPr>
          <w:p w:rsidR="00EB4C55" w:rsidRPr="00E71269" w:rsidRDefault="00EB4C55" w:rsidP="00214605">
            <w:pPr>
              <w:jc w:val="center"/>
              <w:rPr>
                <w:b/>
              </w:rPr>
            </w:pPr>
            <w:r w:rsidRPr="00E71269"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EB4C55" w:rsidRPr="00E71269" w:rsidRDefault="00EB4C55" w:rsidP="00214605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Toksyny naturalne – grzyby trujące, rośliny trujące, ukąszenia przez owady </w:t>
            </w:r>
            <w:r w:rsidR="006E0A2F">
              <w:rPr>
                <w:rFonts w:cstheme="minorHAnsi"/>
                <w:bCs/>
              </w:rPr>
              <w:t>błonkoskrzydłe – patofizjologia, toksyczność, diagnostyka</w:t>
            </w:r>
          </w:p>
        </w:tc>
        <w:tc>
          <w:tcPr>
            <w:tcW w:w="1886" w:type="dxa"/>
            <w:gridSpan w:val="4"/>
          </w:tcPr>
          <w:p w:rsidR="00EB4C55" w:rsidRPr="00E71269" w:rsidRDefault="00EB4C55" w:rsidP="00214605">
            <w:pPr>
              <w:rPr>
                <w:b/>
              </w:rPr>
            </w:pPr>
            <w:r w:rsidRPr="00E71269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EB4C55" w:rsidRPr="00E71269" w:rsidRDefault="00EB4C55" w:rsidP="00214605">
            <w:r w:rsidRPr="00E71269">
              <w:rPr>
                <w:b/>
              </w:rPr>
              <w:t xml:space="preserve">2 </w:t>
            </w:r>
          </w:p>
        </w:tc>
      </w:tr>
    </w:tbl>
    <w:p w:rsidR="00AC7875" w:rsidRPr="00E71269" w:rsidRDefault="00AC7875" w:rsidP="003A238C">
      <w:pPr>
        <w:jc w:val="center"/>
      </w:pPr>
    </w:p>
    <w:sectPr w:rsidR="00AC7875" w:rsidRPr="00E712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42153A"/>
    <w:multiLevelType w:val="hybridMultilevel"/>
    <w:tmpl w:val="DB80465C"/>
    <w:lvl w:ilvl="0" w:tplc="098A3ACC">
      <w:start w:val="1"/>
      <w:numFmt w:val="decimal"/>
      <w:lvlText w:val="%1."/>
      <w:lvlJc w:val="left"/>
      <w:pPr>
        <w:ind w:left="743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C68D0"/>
    <w:multiLevelType w:val="hybridMultilevel"/>
    <w:tmpl w:val="DB80465C"/>
    <w:lvl w:ilvl="0" w:tplc="098A3ACC">
      <w:start w:val="1"/>
      <w:numFmt w:val="decimal"/>
      <w:lvlText w:val="%1."/>
      <w:lvlJc w:val="left"/>
      <w:pPr>
        <w:ind w:left="743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3" w15:restartNumberingAfterBreak="0">
    <w:nsid w:val="332957E4"/>
    <w:multiLevelType w:val="hybridMultilevel"/>
    <w:tmpl w:val="2B2CB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40C70"/>
    <w:rsid w:val="00060C5E"/>
    <w:rsid w:val="000A1C4E"/>
    <w:rsid w:val="000A659B"/>
    <w:rsid w:val="000B3BF8"/>
    <w:rsid w:val="00153595"/>
    <w:rsid w:val="00165C30"/>
    <w:rsid w:val="00176E38"/>
    <w:rsid w:val="001A5FD0"/>
    <w:rsid w:val="001C45D5"/>
    <w:rsid w:val="001E764E"/>
    <w:rsid w:val="002049FA"/>
    <w:rsid w:val="00214605"/>
    <w:rsid w:val="002275BF"/>
    <w:rsid w:val="00252137"/>
    <w:rsid w:val="00283D67"/>
    <w:rsid w:val="002B2C78"/>
    <w:rsid w:val="002B5DF9"/>
    <w:rsid w:val="002C1097"/>
    <w:rsid w:val="00317A3F"/>
    <w:rsid w:val="00337096"/>
    <w:rsid w:val="003A238C"/>
    <w:rsid w:val="003C7AE0"/>
    <w:rsid w:val="003E0CC0"/>
    <w:rsid w:val="004179F2"/>
    <w:rsid w:val="00486DF3"/>
    <w:rsid w:val="004D3DE6"/>
    <w:rsid w:val="005A411C"/>
    <w:rsid w:val="005E307D"/>
    <w:rsid w:val="005F01CE"/>
    <w:rsid w:val="005F39E9"/>
    <w:rsid w:val="00696A2C"/>
    <w:rsid w:val="006A0B2B"/>
    <w:rsid w:val="006A2E6C"/>
    <w:rsid w:val="006E095B"/>
    <w:rsid w:val="006E0A2F"/>
    <w:rsid w:val="00712BF0"/>
    <w:rsid w:val="00751413"/>
    <w:rsid w:val="00766FB5"/>
    <w:rsid w:val="007870E2"/>
    <w:rsid w:val="00793969"/>
    <w:rsid w:val="00822F61"/>
    <w:rsid w:val="00842C7A"/>
    <w:rsid w:val="00855744"/>
    <w:rsid w:val="00880636"/>
    <w:rsid w:val="008D5929"/>
    <w:rsid w:val="009002A0"/>
    <w:rsid w:val="00920668"/>
    <w:rsid w:val="009257BE"/>
    <w:rsid w:val="00945FFE"/>
    <w:rsid w:val="009B260A"/>
    <w:rsid w:val="00A261A4"/>
    <w:rsid w:val="00A83CE5"/>
    <w:rsid w:val="00AC7875"/>
    <w:rsid w:val="00AD3F08"/>
    <w:rsid w:val="00AE2A00"/>
    <w:rsid w:val="00AE6A9E"/>
    <w:rsid w:val="00B4771B"/>
    <w:rsid w:val="00B52075"/>
    <w:rsid w:val="00B57315"/>
    <w:rsid w:val="00BA2B4B"/>
    <w:rsid w:val="00BE4E32"/>
    <w:rsid w:val="00C103A9"/>
    <w:rsid w:val="00C112C9"/>
    <w:rsid w:val="00C154FD"/>
    <w:rsid w:val="00C24152"/>
    <w:rsid w:val="00C93177"/>
    <w:rsid w:val="00C9522C"/>
    <w:rsid w:val="00CA6AEF"/>
    <w:rsid w:val="00CB4455"/>
    <w:rsid w:val="00CB548C"/>
    <w:rsid w:val="00CE6A53"/>
    <w:rsid w:val="00D563D3"/>
    <w:rsid w:val="00D76ED9"/>
    <w:rsid w:val="00DB480D"/>
    <w:rsid w:val="00DD4F60"/>
    <w:rsid w:val="00E042EA"/>
    <w:rsid w:val="00E200EA"/>
    <w:rsid w:val="00E42068"/>
    <w:rsid w:val="00E649B8"/>
    <w:rsid w:val="00E71269"/>
    <w:rsid w:val="00E87231"/>
    <w:rsid w:val="00EB3110"/>
    <w:rsid w:val="00EB4C55"/>
    <w:rsid w:val="00ED4D8F"/>
    <w:rsid w:val="00F954BF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12744"/>
  <w15:docId w15:val="{485AFC18-2C46-4566-AF2F-93608D95F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17A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7A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7A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7A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7A3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7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7A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912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NWSM Dziekanat</dc:creator>
  <cp:lastModifiedBy>NWSM Dziekanat</cp:lastModifiedBy>
  <cp:revision>4</cp:revision>
  <cp:lastPrinted>2026-05-04T10:09:00Z</cp:lastPrinted>
  <dcterms:created xsi:type="dcterms:W3CDTF">2026-05-04T10:09:00Z</dcterms:created>
  <dcterms:modified xsi:type="dcterms:W3CDTF">2026-05-07T12:09:00Z</dcterms:modified>
</cp:coreProperties>
</file>